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74" w:rsidRPr="00876D8B" w:rsidRDefault="00592974" w:rsidP="009A006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76D8B">
        <w:rPr>
          <w:rFonts w:ascii="Times New Roman" w:hAnsi="Times New Roman"/>
          <w:b/>
          <w:bCs/>
          <w:sz w:val="28"/>
          <w:szCs w:val="28"/>
          <w:lang w:eastAsia="ru-RU"/>
        </w:rPr>
        <w:t>ЗВІТ</w:t>
      </w:r>
    </w:p>
    <w:p w:rsidR="00592974" w:rsidRPr="00876D8B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76D8B">
        <w:rPr>
          <w:rFonts w:ascii="Times New Roman" w:hAnsi="Times New Roman"/>
          <w:b/>
          <w:bCs/>
          <w:sz w:val="28"/>
          <w:szCs w:val="28"/>
          <w:lang w:eastAsia="ru-RU"/>
        </w:rPr>
        <w:t>Про фінансово-господарську діяльність комунального підприємства</w:t>
      </w:r>
    </w:p>
    <w:p w:rsidR="00592974" w:rsidRPr="00876D8B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76D8B">
        <w:rPr>
          <w:rFonts w:ascii="Times New Roman" w:hAnsi="Times New Roman"/>
          <w:b/>
          <w:bCs/>
          <w:sz w:val="28"/>
          <w:szCs w:val="28"/>
          <w:lang w:eastAsia="ru-RU"/>
        </w:rPr>
        <w:t> «</w:t>
      </w:r>
      <w:r w:rsidRPr="00876D8B">
        <w:rPr>
          <w:rFonts w:ascii="Times New Roman" w:hAnsi="Times New Roman"/>
          <w:b/>
          <w:bCs/>
          <w:sz w:val="28"/>
          <w:szCs w:val="28"/>
          <w:lang w:val="uk-UA" w:eastAsia="ru-RU"/>
        </w:rPr>
        <w:t>Збаразьке районне комунальне бюро технічної інвентаризації</w:t>
      </w:r>
      <w:r w:rsidRPr="00876D8B">
        <w:rPr>
          <w:rFonts w:ascii="Times New Roman" w:hAnsi="Times New Roman"/>
          <w:b/>
          <w:bCs/>
          <w:sz w:val="28"/>
          <w:szCs w:val="28"/>
          <w:lang w:eastAsia="ru-RU"/>
        </w:rPr>
        <w:t>» за 20</w:t>
      </w:r>
      <w:r w:rsidRPr="00876D8B">
        <w:rPr>
          <w:rFonts w:ascii="Times New Roman" w:hAnsi="Times New Roman"/>
          <w:b/>
          <w:bCs/>
          <w:sz w:val="28"/>
          <w:szCs w:val="28"/>
          <w:lang w:val="uk-UA" w:eastAsia="ru-RU"/>
        </w:rPr>
        <w:t>15-2020</w:t>
      </w:r>
      <w:r w:rsidRPr="00876D8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</w:t>
      </w:r>
      <w:r w:rsidRPr="00876D8B">
        <w:rPr>
          <w:rFonts w:ascii="Times New Roman" w:hAnsi="Times New Roman"/>
          <w:b/>
          <w:bCs/>
          <w:sz w:val="28"/>
          <w:szCs w:val="28"/>
          <w:lang w:val="uk-UA" w:eastAsia="ru-RU"/>
        </w:rPr>
        <w:t>оки</w:t>
      </w:r>
      <w:r w:rsidRPr="00876D8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 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b/>
          <w:bCs/>
          <w:sz w:val="24"/>
          <w:szCs w:val="24"/>
          <w:lang w:eastAsia="ru-RU"/>
        </w:rPr>
        <w:t>ВСТУПНА ЧАСТИНА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 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 xml:space="preserve">            </w:t>
      </w:r>
      <w:r>
        <w:rPr>
          <w:rFonts w:ascii="Times New Roman" w:hAnsi="Times New Roman"/>
          <w:sz w:val="24"/>
          <w:szCs w:val="24"/>
          <w:lang w:eastAsia="ru-RU"/>
        </w:rPr>
        <w:t>Комунальне підприємство «</w:t>
      </w:r>
      <w:r>
        <w:rPr>
          <w:rFonts w:ascii="Times New Roman" w:hAnsi="Times New Roman"/>
          <w:sz w:val="24"/>
          <w:szCs w:val="24"/>
          <w:lang w:val="uk-UA" w:eastAsia="ru-RU"/>
        </w:rPr>
        <w:t>Збаразьке районне комунальне бюро технічної інвентаризації</w:t>
      </w:r>
      <w:r w:rsidRPr="00CA2AE9">
        <w:rPr>
          <w:rFonts w:ascii="Times New Roman" w:hAnsi="Times New Roman"/>
          <w:sz w:val="24"/>
          <w:szCs w:val="24"/>
          <w:lang w:eastAsia="ru-RU"/>
        </w:rPr>
        <w:t>» (надалі – Підприємство) діє на підставі Статуту затверджен</w:t>
      </w:r>
      <w:r>
        <w:rPr>
          <w:rFonts w:ascii="Times New Roman" w:hAnsi="Times New Roman"/>
          <w:sz w:val="24"/>
          <w:szCs w:val="24"/>
          <w:lang w:eastAsia="ru-RU"/>
        </w:rPr>
        <w:t xml:space="preserve">ого рішенням </w:t>
      </w:r>
      <w:r>
        <w:rPr>
          <w:rFonts w:ascii="Times New Roman" w:hAnsi="Times New Roman"/>
          <w:sz w:val="24"/>
          <w:szCs w:val="24"/>
          <w:lang w:val="uk-UA" w:eastAsia="ru-RU"/>
        </w:rPr>
        <w:t>Збаразької районної</w:t>
      </w:r>
      <w:r>
        <w:rPr>
          <w:rFonts w:ascii="Times New Roman" w:hAnsi="Times New Roman"/>
          <w:sz w:val="24"/>
          <w:szCs w:val="24"/>
          <w:lang w:eastAsia="ru-RU"/>
        </w:rPr>
        <w:t xml:space="preserve"> ради </w:t>
      </w:r>
      <w:r>
        <w:rPr>
          <w:rFonts w:ascii="Times New Roman" w:hAnsi="Times New Roman"/>
          <w:sz w:val="24"/>
          <w:szCs w:val="24"/>
          <w:lang w:val="uk-UA" w:eastAsia="ru-RU"/>
        </w:rPr>
        <w:t>Тернопільської області</w:t>
      </w:r>
      <w:r>
        <w:rPr>
          <w:rFonts w:ascii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127</w:t>
      </w:r>
      <w:r>
        <w:rPr>
          <w:rFonts w:ascii="Times New Roman" w:hAnsi="Times New Roman"/>
          <w:sz w:val="24"/>
          <w:szCs w:val="24"/>
          <w:lang w:eastAsia="ru-RU"/>
        </w:rPr>
        <w:t xml:space="preserve"> від 2</w:t>
      </w:r>
      <w:r>
        <w:rPr>
          <w:rFonts w:ascii="Times New Roman" w:hAnsi="Times New Roman"/>
          <w:sz w:val="24"/>
          <w:szCs w:val="24"/>
          <w:lang w:val="uk-UA"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uk-UA" w:eastAsia="ru-RU"/>
        </w:rPr>
        <w:t>12</w:t>
      </w:r>
      <w:r>
        <w:rPr>
          <w:rFonts w:ascii="Times New Roman" w:hAnsi="Times New Roman"/>
          <w:sz w:val="24"/>
          <w:szCs w:val="24"/>
          <w:lang w:eastAsia="ru-RU"/>
        </w:rPr>
        <w:t>.200</w:t>
      </w:r>
      <w:r>
        <w:rPr>
          <w:rFonts w:ascii="Times New Roman" w:hAnsi="Times New Roman"/>
          <w:sz w:val="24"/>
          <w:szCs w:val="24"/>
          <w:lang w:val="uk-UA" w:eastAsia="ru-RU"/>
        </w:rPr>
        <w:t>2</w:t>
      </w:r>
      <w:r w:rsidRPr="00CA2AE9">
        <w:rPr>
          <w:rFonts w:ascii="Times New Roman" w:hAnsi="Times New Roman"/>
          <w:sz w:val="24"/>
          <w:szCs w:val="24"/>
          <w:lang w:eastAsia="ru-RU"/>
        </w:rPr>
        <w:t>.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 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Система оподаткування: на загальних п</w:t>
      </w:r>
      <w:r>
        <w:rPr>
          <w:rFonts w:ascii="Times New Roman" w:hAnsi="Times New Roman"/>
          <w:sz w:val="24"/>
          <w:szCs w:val="24"/>
          <w:lang w:eastAsia="ru-RU"/>
        </w:rPr>
        <w:t xml:space="preserve">ідставах, </w:t>
      </w:r>
      <w:r w:rsidRPr="00CA2AE9">
        <w:rPr>
          <w:rFonts w:ascii="Times New Roman" w:hAnsi="Times New Roman"/>
          <w:sz w:val="24"/>
          <w:szCs w:val="24"/>
          <w:lang w:eastAsia="ru-RU"/>
        </w:rPr>
        <w:t xml:space="preserve"> є платником ПДВ.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 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У своїй діяльності підприємство керується чинним законодавством України, рішеннями Засновника і Статутом підприємства.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Основна мета діяльності підприємства</w:t>
      </w:r>
      <w:r>
        <w:rPr>
          <w:rFonts w:ascii="Times New Roman" w:hAnsi="Times New Roman"/>
          <w:sz w:val="24"/>
          <w:szCs w:val="24"/>
          <w:lang w:val="uk-UA" w:eastAsia="ru-RU"/>
        </w:rPr>
        <w:t>є є: обслуговування підприємств, установ, організацій, товариств, місцевих рад та громадян з питань технічної інвентаризації, приватизації, паспортизації, оцінки житлового і не житлового фонду, інженерних споруд, водного і каналізаційного господарства, доріг і контактних мереж електротранспорту та інших об’єктів всіх форм власності.</w:t>
      </w:r>
      <w:r w:rsidRPr="00CA2AE9">
        <w:rPr>
          <w:rFonts w:ascii="Times New Roman" w:hAnsi="Times New Roman"/>
          <w:sz w:val="24"/>
          <w:szCs w:val="24"/>
          <w:lang w:eastAsia="ru-RU"/>
        </w:rPr>
        <w:t> 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Основними видами  поточної діяльності Підприємства є:</w:t>
      </w:r>
    </w:p>
    <w:p w:rsidR="00592974" w:rsidRDefault="00592974" w:rsidP="00DB48D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val="uk-UA" w:eastAsia="ru-RU"/>
        </w:rPr>
        <w:t>Т</w:t>
      </w:r>
      <w:r w:rsidRPr="00DB48DF">
        <w:rPr>
          <w:rFonts w:ascii="Times New Roman" w:hAnsi="Times New Roman"/>
          <w:sz w:val="24"/>
          <w:szCs w:val="24"/>
          <w:lang w:val="uk-UA" w:eastAsia="ru-RU"/>
        </w:rPr>
        <w:t>ехнічна інвентаризація споруд зовнішнього благоустрою:доріг, тротуарів, мостів, зелених насаджень;</w:t>
      </w:r>
    </w:p>
    <w:p w:rsidR="00592974" w:rsidRDefault="00592974" w:rsidP="00DB48D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Проведення підготовчих робіт по оформленню документів на право власності на житловий і не житловий фонд всіх форм власності;</w:t>
      </w:r>
    </w:p>
    <w:p w:rsidR="00592974" w:rsidRDefault="00592974" w:rsidP="00DB48D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Підготовка документів для виділу будинків із складу будинковолодінь;</w:t>
      </w:r>
    </w:p>
    <w:p w:rsidR="00592974" w:rsidRDefault="00592974" w:rsidP="00DB48D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Обліку даних інвентаризації і правової реєстрації об’єктів  всіх форм власності;</w:t>
      </w:r>
    </w:p>
    <w:p w:rsidR="00592974" w:rsidRPr="00DB48DF" w:rsidRDefault="00592974" w:rsidP="00DB48D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Видача довідок юридичним і фізичним особам різних форм.</w:t>
      </w:r>
    </w:p>
    <w:p w:rsidR="00592974" w:rsidRPr="00DB48DF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592974" w:rsidRPr="00287D1F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Фінансове забезпечення здійснюється за рахунок власних коштів підприємства.</w:t>
      </w:r>
      <w:r w:rsidRPr="00CA2AE9">
        <w:rPr>
          <w:rFonts w:ascii="Times New Roman" w:hAnsi="Times New Roman"/>
          <w:sz w:val="24"/>
          <w:szCs w:val="24"/>
          <w:lang w:eastAsia="ru-RU"/>
        </w:rPr>
        <w:br/>
        <w:t> 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 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b/>
          <w:bCs/>
          <w:sz w:val="24"/>
          <w:szCs w:val="24"/>
          <w:lang w:eastAsia="ru-RU"/>
        </w:rPr>
        <w:t>І. ЗАГАЛЬНИЙ СТАН ПІДПРИЄМСТВА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 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Станом на </w:t>
      </w:r>
      <w:r>
        <w:rPr>
          <w:rFonts w:ascii="Times New Roman" w:hAnsi="Times New Roman"/>
          <w:sz w:val="24"/>
          <w:szCs w:val="24"/>
          <w:lang w:val="uk-UA"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1.1</w:t>
      </w:r>
      <w:r>
        <w:rPr>
          <w:rFonts w:ascii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.20</w:t>
      </w:r>
      <w:r>
        <w:rPr>
          <w:rFonts w:ascii="Times New Roman" w:hAnsi="Times New Roman"/>
          <w:sz w:val="24"/>
          <w:szCs w:val="24"/>
          <w:lang w:val="uk-UA" w:eastAsia="ru-RU"/>
        </w:rPr>
        <w:t>20</w:t>
      </w:r>
      <w:r w:rsidRPr="00CA2AE9">
        <w:rPr>
          <w:rFonts w:ascii="Times New Roman" w:hAnsi="Times New Roman"/>
          <w:sz w:val="24"/>
          <w:szCs w:val="24"/>
          <w:lang w:eastAsia="ru-RU"/>
        </w:rPr>
        <w:t xml:space="preserve"> року адміністрацією підприємства проводяться заходи для стабільної роботи підприємства та ефективного використання наявних в управлінні активів.</w:t>
      </w:r>
    </w:p>
    <w:p w:rsidR="00592974" w:rsidRPr="00C86DF1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Керівництвом підприємства ве</w:t>
      </w:r>
      <w:r>
        <w:rPr>
          <w:rFonts w:ascii="Times New Roman" w:hAnsi="Times New Roman"/>
          <w:sz w:val="24"/>
          <w:szCs w:val="24"/>
          <w:lang w:eastAsia="ru-RU"/>
        </w:rPr>
        <w:t xml:space="preserve">деться пошук </w:t>
      </w:r>
      <w:r>
        <w:rPr>
          <w:rFonts w:ascii="Times New Roman" w:hAnsi="Times New Roman"/>
          <w:sz w:val="24"/>
          <w:szCs w:val="24"/>
          <w:lang w:val="uk-UA" w:eastAsia="ru-RU"/>
        </w:rPr>
        <w:t>нових клієнтів для інвентаризації будівель і споруд різної форми власності.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 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 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b/>
          <w:bCs/>
          <w:sz w:val="24"/>
          <w:szCs w:val="24"/>
          <w:lang w:eastAsia="ru-RU"/>
        </w:rPr>
        <w:t>ІІ. ФІНАНСОВИЙ СТАН ПІДПРИЄМСТВА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 </w:t>
      </w:r>
    </w:p>
    <w:p w:rsidR="00592974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>З</w:t>
      </w:r>
      <w:r w:rsidRPr="00CA2AE9">
        <w:rPr>
          <w:rFonts w:ascii="Times New Roman" w:hAnsi="Times New Roman"/>
          <w:sz w:val="24"/>
          <w:szCs w:val="24"/>
          <w:lang w:eastAsia="ru-RU"/>
        </w:rPr>
        <w:t>алишок коштів на розрахунковому раху</w:t>
      </w:r>
      <w:r>
        <w:rPr>
          <w:rFonts w:ascii="Times New Roman" w:hAnsi="Times New Roman"/>
          <w:sz w:val="24"/>
          <w:szCs w:val="24"/>
          <w:lang w:eastAsia="ru-RU"/>
        </w:rPr>
        <w:t xml:space="preserve">нку підприємства становив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протягом 2015 - 2020 рр.  </w:t>
      </w:r>
      <w:r w:rsidRPr="00CA2AE9">
        <w:rPr>
          <w:rFonts w:ascii="Times New Roman" w:hAnsi="Times New Roman"/>
          <w:sz w:val="24"/>
          <w:szCs w:val="24"/>
          <w:lang w:eastAsia="ru-RU"/>
        </w:rPr>
        <w:t xml:space="preserve"> тис.грн.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3"/>
        <w:gridCol w:w="1179"/>
        <w:gridCol w:w="713"/>
        <w:gridCol w:w="620"/>
        <w:gridCol w:w="713"/>
        <w:gridCol w:w="619"/>
        <w:gridCol w:w="712"/>
        <w:gridCol w:w="619"/>
        <w:gridCol w:w="712"/>
        <w:gridCol w:w="619"/>
        <w:gridCol w:w="712"/>
        <w:gridCol w:w="619"/>
        <w:gridCol w:w="712"/>
        <w:gridCol w:w="619"/>
      </w:tblGrid>
      <w:tr w:rsidR="00592974" w:rsidRPr="00585EB8" w:rsidTr="00585EB8">
        <w:tc>
          <w:tcPr>
            <w:tcW w:w="403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85EB8">
              <w:rPr>
                <w:rFonts w:ascii="Times New Roman" w:hAnsi="Times New Roman"/>
                <w:sz w:val="20"/>
                <w:szCs w:val="20"/>
                <w:lang w:val="uk-UA" w:eastAsia="ru-RU"/>
              </w:rPr>
              <w:t>№ п/п</w:t>
            </w:r>
          </w:p>
        </w:tc>
        <w:tc>
          <w:tcPr>
            <w:tcW w:w="1179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85EB8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Залишок коштів</w:t>
            </w:r>
          </w:p>
        </w:tc>
        <w:tc>
          <w:tcPr>
            <w:tcW w:w="1333" w:type="dxa"/>
            <w:gridSpan w:val="2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85EB8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2015р</w:t>
            </w:r>
          </w:p>
        </w:tc>
        <w:tc>
          <w:tcPr>
            <w:tcW w:w="1332" w:type="dxa"/>
            <w:gridSpan w:val="2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85EB8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2016р</w:t>
            </w:r>
          </w:p>
        </w:tc>
        <w:tc>
          <w:tcPr>
            <w:tcW w:w="1331" w:type="dxa"/>
            <w:gridSpan w:val="2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85EB8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2017р</w:t>
            </w:r>
          </w:p>
        </w:tc>
        <w:tc>
          <w:tcPr>
            <w:tcW w:w="1331" w:type="dxa"/>
            <w:gridSpan w:val="2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85EB8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2018р</w:t>
            </w:r>
          </w:p>
        </w:tc>
        <w:tc>
          <w:tcPr>
            <w:tcW w:w="1331" w:type="dxa"/>
            <w:gridSpan w:val="2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85EB8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2019р</w:t>
            </w:r>
          </w:p>
        </w:tc>
        <w:tc>
          <w:tcPr>
            <w:tcW w:w="1331" w:type="dxa"/>
            <w:gridSpan w:val="2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85EB8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2020р</w:t>
            </w:r>
          </w:p>
        </w:tc>
      </w:tr>
      <w:tr w:rsidR="00592974" w:rsidRPr="00585EB8" w:rsidTr="00585EB8">
        <w:tc>
          <w:tcPr>
            <w:tcW w:w="403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85EB8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Початок року</w:t>
            </w:r>
          </w:p>
        </w:tc>
        <w:tc>
          <w:tcPr>
            <w:tcW w:w="620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85EB8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Кінець року</w:t>
            </w:r>
          </w:p>
        </w:tc>
        <w:tc>
          <w:tcPr>
            <w:tcW w:w="713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85EB8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Початок року</w:t>
            </w:r>
          </w:p>
        </w:tc>
        <w:tc>
          <w:tcPr>
            <w:tcW w:w="619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5EB8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Кінець року</w:t>
            </w:r>
          </w:p>
        </w:tc>
        <w:tc>
          <w:tcPr>
            <w:tcW w:w="712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85EB8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Початок року</w:t>
            </w:r>
          </w:p>
        </w:tc>
        <w:tc>
          <w:tcPr>
            <w:tcW w:w="619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5EB8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Кінець року</w:t>
            </w:r>
          </w:p>
        </w:tc>
        <w:tc>
          <w:tcPr>
            <w:tcW w:w="712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85EB8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Початок року</w:t>
            </w:r>
          </w:p>
        </w:tc>
        <w:tc>
          <w:tcPr>
            <w:tcW w:w="619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5EB8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Кінець року</w:t>
            </w:r>
          </w:p>
        </w:tc>
        <w:tc>
          <w:tcPr>
            <w:tcW w:w="712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85EB8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Початок року</w:t>
            </w:r>
          </w:p>
        </w:tc>
        <w:tc>
          <w:tcPr>
            <w:tcW w:w="619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5EB8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Кінець року</w:t>
            </w:r>
          </w:p>
        </w:tc>
        <w:tc>
          <w:tcPr>
            <w:tcW w:w="712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85EB8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Початок року</w:t>
            </w:r>
          </w:p>
        </w:tc>
        <w:tc>
          <w:tcPr>
            <w:tcW w:w="619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5EB8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Кінець року</w:t>
            </w:r>
          </w:p>
        </w:tc>
      </w:tr>
      <w:tr w:rsidR="00592974" w:rsidRPr="00585EB8" w:rsidTr="00585EB8">
        <w:tc>
          <w:tcPr>
            <w:tcW w:w="403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85EB8"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179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85EB8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Залишок коштів на розрахунковому рахунку</w:t>
            </w:r>
          </w:p>
        </w:tc>
        <w:tc>
          <w:tcPr>
            <w:tcW w:w="713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  <w:p w:rsidR="00592974" w:rsidRPr="00585EB8" w:rsidRDefault="00592974" w:rsidP="00585E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585EB8">
              <w:rPr>
                <w:rFonts w:ascii="Times New Roman" w:hAnsi="Times New Roman"/>
                <w:sz w:val="16"/>
                <w:szCs w:val="16"/>
                <w:lang w:val="uk-UA" w:eastAsia="ru-RU"/>
              </w:rPr>
              <w:t>30,7</w:t>
            </w:r>
          </w:p>
        </w:tc>
        <w:tc>
          <w:tcPr>
            <w:tcW w:w="620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  <w:p w:rsidR="00592974" w:rsidRPr="00585EB8" w:rsidRDefault="00592974" w:rsidP="00585E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585EB8">
              <w:rPr>
                <w:rFonts w:ascii="Times New Roman" w:hAnsi="Times New Roman"/>
                <w:sz w:val="16"/>
                <w:szCs w:val="16"/>
                <w:lang w:val="uk-UA" w:eastAsia="ru-RU"/>
              </w:rPr>
              <w:t>72,4</w:t>
            </w:r>
          </w:p>
        </w:tc>
        <w:tc>
          <w:tcPr>
            <w:tcW w:w="713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  <w:p w:rsidR="00592974" w:rsidRPr="00585EB8" w:rsidRDefault="00592974" w:rsidP="00585E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585EB8">
              <w:rPr>
                <w:rFonts w:ascii="Times New Roman" w:hAnsi="Times New Roman"/>
                <w:sz w:val="16"/>
                <w:szCs w:val="16"/>
                <w:lang w:val="uk-UA" w:eastAsia="ru-RU"/>
              </w:rPr>
              <w:t>72,4</w:t>
            </w:r>
          </w:p>
        </w:tc>
        <w:tc>
          <w:tcPr>
            <w:tcW w:w="619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  <w:p w:rsidR="00592974" w:rsidRPr="00585EB8" w:rsidRDefault="00592974" w:rsidP="00585E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585EB8">
              <w:rPr>
                <w:rFonts w:ascii="Times New Roman" w:hAnsi="Times New Roman"/>
                <w:sz w:val="16"/>
                <w:szCs w:val="16"/>
                <w:lang w:val="uk-UA" w:eastAsia="ru-RU"/>
              </w:rPr>
              <w:t>69,9</w:t>
            </w:r>
          </w:p>
        </w:tc>
        <w:tc>
          <w:tcPr>
            <w:tcW w:w="712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  <w:p w:rsidR="00592974" w:rsidRPr="00585EB8" w:rsidRDefault="00592974" w:rsidP="00585E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585EB8">
              <w:rPr>
                <w:rFonts w:ascii="Times New Roman" w:hAnsi="Times New Roman"/>
                <w:sz w:val="16"/>
                <w:szCs w:val="16"/>
                <w:lang w:val="uk-UA" w:eastAsia="ru-RU"/>
              </w:rPr>
              <w:t>69,9</w:t>
            </w:r>
          </w:p>
        </w:tc>
        <w:tc>
          <w:tcPr>
            <w:tcW w:w="619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  <w:p w:rsidR="00592974" w:rsidRPr="00585EB8" w:rsidRDefault="00592974" w:rsidP="00585E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585EB8">
              <w:rPr>
                <w:rFonts w:ascii="Times New Roman" w:hAnsi="Times New Roman"/>
                <w:sz w:val="16"/>
                <w:szCs w:val="16"/>
                <w:lang w:val="uk-UA" w:eastAsia="ru-RU"/>
              </w:rPr>
              <w:t>101,0</w:t>
            </w:r>
          </w:p>
        </w:tc>
        <w:tc>
          <w:tcPr>
            <w:tcW w:w="712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  <w:p w:rsidR="00592974" w:rsidRPr="00585EB8" w:rsidRDefault="00592974" w:rsidP="00585E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585EB8">
              <w:rPr>
                <w:rFonts w:ascii="Times New Roman" w:hAnsi="Times New Roman"/>
                <w:sz w:val="16"/>
                <w:szCs w:val="16"/>
                <w:lang w:val="uk-UA" w:eastAsia="ru-RU"/>
              </w:rPr>
              <w:t>101,0</w:t>
            </w:r>
          </w:p>
        </w:tc>
        <w:tc>
          <w:tcPr>
            <w:tcW w:w="619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  <w:p w:rsidR="00592974" w:rsidRPr="00585EB8" w:rsidRDefault="00592974" w:rsidP="00585E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585EB8">
              <w:rPr>
                <w:rFonts w:ascii="Times New Roman" w:hAnsi="Times New Roman"/>
                <w:sz w:val="16"/>
                <w:szCs w:val="16"/>
                <w:lang w:val="uk-UA" w:eastAsia="ru-RU"/>
              </w:rPr>
              <w:t>127,1</w:t>
            </w:r>
          </w:p>
        </w:tc>
        <w:tc>
          <w:tcPr>
            <w:tcW w:w="712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  <w:p w:rsidR="00592974" w:rsidRPr="00585EB8" w:rsidRDefault="00592974" w:rsidP="00585E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585EB8">
              <w:rPr>
                <w:rFonts w:ascii="Times New Roman" w:hAnsi="Times New Roman"/>
                <w:sz w:val="16"/>
                <w:szCs w:val="16"/>
                <w:lang w:val="uk-UA" w:eastAsia="ru-RU"/>
              </w:rPr>
              <w:t>127,1</w:t>
            </w:r>
          </w:p>
        </w:tc>
        <w:tc>
          <w:tcPr>
            <w:tcW w:w="619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  <w:p w:rsidR="00592974" w:rsidRPr="00585EB8" w:rsidRDefault="00592974" w:rsidP="00585E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585EB8">
              <w:rPr>
                <w:rFonts w:ascii="Times New Roman" w:hAnsi="Times New Roman"/>
                <w:sz w:val="16"/>
                <w:szCs w:val="16"/>
                <w:lang w:val="uk-UA" w:eastAsia="ru-RU"/>
              </w:rPr>
              <w:t>78,2</w:t>
            </w:r>
          </w:p>
        </w:tc>
        <w:tc>
          <w:tcPr>
            <w:tcW w:w="712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  <w:p w:rsidR="00592974" w:rsidRPr="00585EB8" w:rsidRDefault="00592974" w:rsidP="00585E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585EB8">
              <w:rPr>
                <w:rFonts w:ascii="Times New Roman" w:hAnsi="Times New Roman"/>
                <w:sz w:val="16"/>
                <w:szCs w:val="16"/>
                <w:lang w:val="uk-UA" w:eastAsia="ru-RU"/>
              </w:rPr>
              <w:t>78,2</w:t>
            </w:r>
          </w:p>
        </w:tc>
        <w:tc>
          <w:tcPr>
            <w:tcW w:w="619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  <w:p w:rsidR="00592974" w:rsidRPr="00585EB8" w:rsidRDefault="00592974" w:rsidP="00585E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585EB8">
              <w:rPr>
                <w:rFonts w:ascii="Times New Roman" w:hAnsi="Times New Roman"/>
                <w:sz w:val="16"/>
                <w:szCs w:val="16"/>
                <w:lang w:val="uk-UA" w:eastAsia="ru-RU"/>
              </w:rPr>
              <w:t>132,0</w:t>
            </w:r>
          </w:p>
        </w:tc>
      </w:tr>
    </w:tbl>
    <w:p w:rsidR="00592974" w:rsidRPr="00B878A4" w:rsidRDefault="00592974" w:rsidP="000A08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Залишок коштів на розрахунковому рахунку станом на 31.12.2020 року становить - 132,0 тис. грн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6"/>
        <w:gridCol w:w="1620"/>
        <w:gridCol w:w="1000"/>
        <w:gridCol w:w="1000"/>
        <w:gridCol w:w="1025"/>
        <w:gridCol w:w="1026"/>
        <w:gridCol w:w="1026"/>
        <w:gridCol w:w="1026"/>
      </w:tblGrid>
      <w:tr w:rsidR="00592974" w:rsidRPr="00585EB8" w:rsidTr="00585EB8">
        <w:tc>
          <w:tcPr>
            <w:tcW w:w="956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85EB8">
              <w:rPr>
                <w:rFonts w:ascii="Times New Roman" w:hAnsi="Times New Roman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1620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85EB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Доходи підприємства</w:t>
            </w:r>
          </w:p>
        </w:tc>
        <w:tc>
          <w:tcPr>
            <w:tcW w:w="1000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85EB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 2015 рік</w:t>
            </w:r>
          </w:p>
        </w:tc>
        <w:tc>
          <w:tcPr>
            <w:tcW w:w="1000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85EB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 2016 рік</w:t>
            </w:r>
          </w:p>
        </w:tc>
        <w:tc>
          <w:tcPr>
            <w:tcW w:w="1025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85EB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 2017 рік</w:t>
            </w:r>
          </w:p>
        </w:tc>
        <w:tc>
          <w:tcPr>
            <w:tcW w:w="1026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85EB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 2018 рік</w:t>
            </w:r>
          </w:p>
        </w:tc>
        <w:tc>
          <w:tcPr>
            <w:tcW w:w="1026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85EB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 2019 рік</w:t>
            </w:r>
          </w:p>
        </w:tc>
        <w:tc>
          <w:tcPr>
            <w:tcW w:w="1026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85EB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 2020 рік</w:t>
            </w:r>
          </w:p>
        </w:tc>
      </w:tr>
      <w:tr w:rsidR="00592974" w:rsidRPr="00585EB8" w:rsidTr="00585EB8">
        <w:tc>
          <w:tcPr>
            <w:tcW w:w="956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85EB8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20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85EB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Надходження від реалізації продукції (товарів, робіт, послуг)</w:t>
            </w:r>
          </w:p>
        </w:tc>
        <w:tc>
          <w:tcPr>
            <w:tcW w:w="1000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85EB8">
              <w:rPr>
                <w:rFonts w:ascii="Times New Roman" w:hAnsi="Times New Roman"/>
                <w:sz w:val="24"/>
                <w:szCs w:val="24"/>
                <w:lang w:val="uk-UA" w:eastAsia="ru-RU"/>
              </w:rPr>
              <w:t>796,4</w:t>
            </w:r>
          </w:p>
        </w:tc>
        <w:tc>
          <w:tcPr>
            <w:tcW w:w="1000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85EB8">
              <w:rPr>
                <w:rFonts w:ascii="Times New Roman" w:hAnsi="Times New Roman"/>
                <w:sz w:val="24"/>
                <w:szCs w:val="24"/>
                <w:lang w:val="uk-UA" w:eastAsia="ru-RU"/>
              </w:rPr>
              <w:t>942,8</w:t>
            </w:r>
          </w:p>
        </w:tc>
        <w:tc>
          <w:tcPr>
            <w:tcW w:w="1025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85EB8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1206,3</w:t>
            </w:r>
          </w:p>
        </w:tc>
        <w:tc>
          <w:tcPr>
            <w:tcW w:w="1026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85EB8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1371,5</w:t>
            </w:r>
          </w:p>
        </w:tc>
        <w:tc>
          <w:tcPr>
            <w:tcW w:w="1026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85EB8">
              <w:rPr>
                <w:rFonts w:ascii="Times New Roman" w:hAnsi="Times New Roman"/>
                <w:sz w:val="24"/>
                <w:szCs w:val="24"/>
                <w:lang w:val="uk-UA" w:eastAsia="ru-RU"/>
              </w:rPr>
              <w:t>1686,4</w:t>
            </w:r>
          </w:p>
        </w:tc>
        <w:tc>
          <w:tcPr>
            <w:tcW w:w="1026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85EB8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1564,5</w:t>
            </w:r>
          </w:p>
        </w:tc>
      </w:tr>
      <w:tr w:rsidR="00592974" w:rsidRPr="00585EB8" w:rsidTr="00585EB8">
        <w:tc>
          <w:tcPr>
            <w:tcW w:w="956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85EB8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620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85EB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Інші доходи</w:t>
            </w:r>
          </w:p>
        </w:tc>
        <w:tc>
          <w:tcPr>
            <w:tcW w:w="1000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85EB8">
              <w:rPr>
                <w:rFonts w:ascii="Times New Roman" w:hAnsi="Times New Roman"/>
                <w:sz w:val="24"/>
                <w:szCs w:val="24"/>
                <w:lang w:val="uk-UA" w:eastAsia="ru-RU"/>
              </w:rPr>
              <w:t>1,1</w:t>
            </w:r>
          </w:p>
        </w:tc>
        <w:tc>
          <w:tcPr>
            <w:tcW w:w="1000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85EB8">
              <w:rPr>
                <w:rFonts w:ascii="Times New Roman" w:hAnsi="Times New Roman"/>
                <w:sz w:val="24"/>
                <w:szCs w:val="24"/>
                <w:lang w:val="uk-UA" w:eastAsia="ru-RU"/>
              </w:rPr>
              <w:t>1,3</w:t>
            </w:r>
          </w:p>
        </w:tc>
        <w:tc>
          <w:tcPr>
            <w:tcW w:w="1025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26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85EB8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12,4</w:t>
            </w:r>
          </w:p>
        </w:tc>
        <w:tc>
          <w:tcPr>
            <w:tcW w:w="1026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85EB8">
              <w:rPr>
                <w:rFonts w:ascii="Times New Roman" w:hAnsi="Times New Roman"/>
                <w:sz w:val="24"/>
                <w:szCs w:val="24"/>
                <w:lang w:val="uk-UA" w:eastAsia="ru-RU"/>
              </w:rPr>
              <w:t>27,0</w:t>
            </w:r>
          </w:p>
        </w:tc>
        <w:tc>
          <w:tcPr>
            <w:tcW w:w="1026" w:type="dxa"/>
          </w:tcPr>
          <w:p w:rsidR="00592974" w:rsidRPr="00585EB8" w:rsidRDefault="00592974" w:rsidP="00585E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85EB8">
              <w:rPr>
                <w:rFonts w:ascii="Times New Roman" w:hAnsi="Times New Roman"/>
                <w:sz w:val="24"/>
                <w:szCs w:val="24"/>
                <w:lang w:val="uk-UA" w:eastAsia="ru-RU"/>
              </w:rPr>
              <w:t>21,4</w:t>
            </w:r>
          </w:p>
        </w:tc>
      </w:tr>
    </w:tbl>
    <w:p w:rsidR="00592974" w:rsidRPr="00B878A4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592974" w:rsidRPr="00B878A4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 </w:t>
      </w:r>
    </w:p>
    <w:p w:rsidR="00592974" w:rsidRPr="00CA2AE9" w:rsidRDefault="00592974" w:rsidP="00876D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201</w:t>
      </w:r>
      <w:r>
        <w:rPr>
          <w:rFonts w:ascii="Times New Roman" w:hAnsi="Times New Roman"/>
          <w:sz w:val="24"/>
          <w:szCs w:val="24"/>
          <w:lang w:val="uk-UA" w:eastAsia="ru-RU"/>
        </w:rPr>
        <w:t>5</w:t>
      </w:r>
      <w:r w:rsidRPr="00CA2AE9">
        <w:rPr>
          <w:rFonts w:ascii="Times New Roman" w:hAnsi="Times New Roman"/>
          <w:sz w:val="24"/>
          <w:szCs w:val="24"/>
          <w:lang w:eastAsia="ru-RU"/>
        </w:rPr>
        <w:t xml:space="preserve"> роц</w:t>
      </w:r>
      <w:r>
        <w:rPr>
          <w:rFonts w:ascii="Times New Roman" w:hAnsi="Times New Roman"/>
          <w:sz w:val="24"/>
          <w:szCs w:val="24"/>
          <w:lang w:eastAsia="ru-RU"/>
        </w:rPr>
        <w:t xml:space="preserve">і підприємством було укладено </w:t>
      </w:r>
      <w:r>
        <w:rPr>
          <w:rFonts w:ascii="Times New Roman" w:hAnsi="Times New Roman"/>
          <w:sz w:val="24"/>
          <w:szCs w:val="24"/>
          <w:lang w:val="uk-UA" w:eastAsia="ru-RU"/>
        </w:rPr>
        <w:t>780</w:t>
      </w:r>
      <w:r w:rsidRPr="00CA2AE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договорів про надання </w:t>
      </w:r>
      <w:r w:rsidRPr="00CA2AE9">
        <w:rPr>
          <w:rFonts w:ascii="Times New Roman" w:hAnsi="Times New Roman"/>
          <w:sz w:val="24"/>
          <w:szCs w:val="24"/>
          <w:lang w:eastAsia="ru-RU"/>
        </w:rPr>
        <w:t xml:space="preserve"> послуг.</w:t>
      </w:r>
    </w:p>
    <w:p w:rsidR="00592974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201</w:t>
      </w:r>
      <w:r>
        <w:rPr>
          <w:rFonts w:ascii="Times New Roman" w:hAnsi="Times New Roman"/>
          <w:sz w:val="24"/>
          <w:szCs w:val="24"/>
          <w:lang w:val="uk-UA" w:eastAsia="ru-RU"/>
        </w:rPr>
        <w:t>6</w:t>
      </w:r>
      <w:r w:rsidRPr="00CA2AE9">
        <w:rPr>
          <w:rFonts w:ascii="Times New Roman" w:hAnsi="Times New Roman"/>
          <w:sz w:val="24"/>
          <w:szCs w:val="24"/>
          <w:lang w:eastAsia="ru-RU"/>
        </w:rPr>
        <w:t xml:space="preserve"> роц</w:t>
      </w:r>
      <w:r>
        <w:rPr>
          <w:rFonts w:ascii="Times New Roman" w:hAnsi="Times New Roman"/>
          <w:sz w:val="24"/>
          <w:szCs w:val="24"/>
          <w:lang w:eastAsia="ru-RU"/>
        </w:rPr>
        <w:t xml:space="preserve">і підприємством було укладено </w:t>
      </w:r>
      <w:r>
        <w:rPr>
          <w:rFonts w:ascii="Times New Roman" w:hAnsi="Times New Roman"/>
          <w:sz w:val="24"/>
          <w:szCs w:val="24"/>
          <w:lang w:val="uk-UA" w:eastAsia="ru-RU"/>
        </w:rPr>
        <w:t>820</w:t>
      </w:r>
      <w:r w:rsidRPr="00CA2AE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договорів про надання </w:t>
      </w:r>
      <w:r w:rsidRPr="00CA2AE9">
        <w:rPr>
          <w:rFonts w:ascii="Times New Roman" w:hAnsi="Times New Roman"/>
          <w:sz w:val="24"/>
          <w:szCs w:val="24"/>
          <w:lang w:eastAsia="ru-RU"/>
        </w:rPr>
        <w:t xml:space="preserve"> послуг.</w:t>
      </w:r>
    </w:p>
    <w:p w:rsidR="00592974" w:rsidRPr="00CA2AE9" w:rsidRDefault="00592974" w:rsidP="00876D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201</w:t>
      </w:r>
      <w:r>
        <w:rPr>
          <w:rFonts w:ascii="Times New Roman" w:hAnsi="Times New Roman"/>
          <w:sz w:val="24"/>
          <w:szCs w:val="24"/>
          <w:lang w:val="uk-UA" w:eastAsia="ru-RU"/>
        </w:rPr>
        <w:t>7</w:t>
      </w:r>
      <w:r w:rsidRPr="00CA2AE9">
        <w:rPr>
          <w:rFonts w:ascii="Times New Roman" w:hAnsi="Times New Roman"/>
          <w:sz w:val="24"/>
          <w:szCs w:val="24"/>
          <w:lang w:eastAsia="ru-RU"/>
        </w:rPr>
        <w:t xml:space="preserve"> роц</w:t>
      </w:r>
      <w:r>
        <w:rPr>
          <w:rFonts w:ascii="Times New Roman" w:hAnsi="Times New Roman"/>
          <w:sz w:val="24"/>
          <w:szCs w:val="24"/>
          <w:lang w:eastAsia="ru-RU"/>
        </w:rPr>
        <w:t xml:space="preserve">і підприємством було укладено </w:t>
      </w:r>
      <w:r>
        <w:rPr>
          <w:rFonts w:ascii="Times New Roman" w:hAnsi="Times New Roman"/>
          <w:sz w:val="24"/>
          <w:szCs w:val="24"/>
          <w:lang w:val="uk-UA" w:eastAsia="ru-RU"/>
        </w:rPr>
        <w:t>970</w:t>
      </w:r>
      <w:r w:rsidRPr="00CA2AE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договорів про надання </w:t>
      </w:r>
      <w:r w:rsidRPr="00CA2AE9">
        <w:rPr>
          <w:rFonts w:ascii="Times New Roman" w:hAnsi="Times New Roman"/>
          <w:sz w:val="24"/>
          <w:szCs w:val="24"/>
          <w:lang w:eastAsia="ru-RU"/>
        </w:rPr>
        <w:t xml:space="preserve"> послуг.</w:t>
      </w:r>
    </w:p>
    <w:p w:rsidR="00592974" w:rsidRPr="00CA2AE9" w:rsidRDefault="00592974" w:rsidP="00876D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201</w:t>
      </w:r>
      <w:r>
        <w:rPr>
          <w:rFonts w:ascii="Times New Roman" w:hAnsi="Times New Roman"/>
          <w:sz w:val="24"/>
          <w:szCs w:val="24"/>
          <w:lang w:val="uk-UA" w:eastAsia="ru-RU"/>
        </w:rPr>
        <w:t>8</w:t>
      </w:r>
      <w:r w:rsidRPr="00CA2AE9">
        <w:rPr>
          <w:rFonts w:ascii="Times New Roman" w:hAnsi="Times New Roman"/>
          <w:sz w:val="24"/>
          <w:szCs w:val="24"/>
          <w:lang w:eastAsia="ru-RU"/>
        </w:rPr>
        <w:t xml:space="preserve"> роц</w:t>
      </w:r>
      <w:r>
        <w:rPr>
          <w:rFonts w:ascii="Times New Roman" w:hAnsi="Times New Roman"/>
          <w:sz w:val="24"/>
          <w:szCs w:val="24"/>
          <w:lang w:eastAsia="ru-RU"/>
        </w:rPr>
        <w:t xml:space="preserve">і підприємством було укладено </w:t>
      </w:r>
      <w:r>
        <w:rPr>
          <w:rFonts w:ascii="Times New Roman" w:hAnsi="Times New Roman"/>
          <w:sz w:val="24"/>
          <w:szCs w:val="24"/>
          <w:lang w:val="uk-UA" w:eastAsia="ru-RU"/>
        </w:rPr>
        <w:t>1062</w:t>
      </w:r>
      <w:r w:rsidRPr="00CA2AE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договорів про надання </w:t>
      </w:r>
      <w:r w:rsidRPr="00CA2AE9">
        <w:rPr>
          <w:rFonts w:ascii="Times New Roman" w:hAnsi="Times New Roman"/>
          <w:sz w:val="24"/>
          <w:szCs w:val="24"/>
          <w:lang w:eastAsia="ru-RU"/>
        </w:rPr>
        <w:t xml:space="preserve"> послуг.</w:t>
      </w:r>
    </w:p>
    <w:p w:rsidR="00592974" w:rsidRPr="00CA2AE9" w:rsidRDefault="00592974" w:rsidP="00876D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201</w:t>
      </w:r>
      <w:r>
        <w:rPr>
          <w:rFonts w:ascii="Times New Roman" w:hAnsi="Times New Roman"/>
          <w:sz w:val="24"/>
          <w:szCs w:val="24"/>
          <w:lang w:val="uk-UA" w:eastAsia="ru-RU"/>
        </w:rPr>
        <w:t>9</w:t>
      </w:r>
      <w:r w:rsidRPr="00CA2AE9">
        <w:rPr>
          <w:rFonts w:ascii="Times New Roman" w:hAnsi="Times New Roman"/>
          <w:sz w:val="24"/>
          <w:szCs w:val="24"/>
          <w:lang w:eastAsia="ru-RU"/>
        </w:rPr>
        <w:t xml:space="preserve"> роц</w:t>
      </w:r>
      <w:r>
        <w:rPr>
          <w:rFonts w:ascii="Times New Roman" w:hAnsi="Times New Roman"/>
          <w:sz w:val="24"/>
          <w:szCs w:val="24"/>
          <w:lang w:eastAsia="ru-RU"/>
        </w:rPr>
        <w:t xml:space="preserve">і підприємством було укладено </w:t>
      </w:r>
      <w:r>
        <w:rPr>
          <w:rFonts w:ascii="Times New Roman" w:hAnsi="Times New Roman"/>
          <w:sz w:val="24"/>
          <w:szCs w:val="24"/>
          <w:lang w:val="uk-UA" w:eastAsia="ru-RU"/>
        </w:rPr>
        <w:t>965</w:t>
      </w:r>
      <w:r w:rsidRPr="00CA2AE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договорів про надання </w:t>
      </w:r>
      <w:r w:rsidRPr="00CA2AE9">
        <w:rPr>
          <w:rFonts w:ascii="Times New Roman" w:hAnsi="Times New Roman"/>
          <w:sz w:val="24"/>
          <w:szCs w:val="24"/>
          <w:lang w:eastAsia="ru-RU"/>
        </w:rPr>
        <w:t xml:space="preserve"> послуг.</w:t>
      </w:r>
    </w:p>
    <w:p w:rsidR="00592974" w:rsidRPr="00CA2AE9" w:rsidRDefault="00592974" w:rsidP="00876D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20</w:t>
      </w:r>
      <w:r>
        <w:rPr>
          <w:rFonts w:ascii="Times New Roman" w:hAnsi="Times New Roman"/>
          <w:sz w:val="24"/>
          <w:szCs w:val="24"/>
          <w:lang w:val="uk-UA" w:eastAsia="ru-RU"/>
        </w:rPr>
        <w:t>20</w:t>
      </w:r>
      <w:r w:rsidRPr="00CA2AE9">
        <w:rPr>
          <w:rFonts w:ascii="Times New Roman" w:hAnsi="Times New Roman"/>
          <w:sz w:val="24"/>
          <w:szCs w:val="24"/>
          <w:lang w:eastAsia="ru-RU"/>
        </w:rPr>
        <w:t xml:space="preserve"> роц</w:t>
      </w:r>
      <w:r>
        <w:rPr>
          <w:rFonts w:ascii="Times New Roman" w:hAnsi="Times New Roman"/>
          <w:sz w:val="24"/>
          <w:szCs w:val="24"/>
          <w:lang w:eastAsia="ru-RU"/>
        </w:rPr>
        <w:t xml:space="preserve">і підприємством було укладено </w:t>
      </w:r>
      <w:r>
        <w:rPr>
          <w:rFonts w:ascii="Times New Roman" w:hAnsi="Times New Roman"/>
          <w:sz w:val="24"/>
          <w:szCs w:val="24"/>
          <w:lang w:val="uk-UA" w:eastAsia="ru-RU"/>
        </w:rPr>
        <w:t>883</w:t>
      </w:r>
      <w:r w:rsidRPr="00CA2AE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договорів про надання </w:t>
      </w:r>
      <w:r w:rsidRPr="00CA2AE9">
        <w:rPr>
          <w:rFonts w:ascii="Times New Roman" w:hAnsi="Times New Roman"/>
          <w:sz w:val="24"/>
          <w:szCs w:val="24"/>
          <w:lang w:eastAsia="ru-RU"/>
        </w:rPr>
        <w:t xml:space="preserve"> послуг.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 xml:space="preserve">Кошти Підприємства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за роки 2015-2020 </w:t>
      </w:r>
      <w:r>
        <w:rPr>
          <w:rFonts w:ascii="Times New Roman" w:hAnsi="Times New Roman"/>
          <w:sz w:val="24"/>
          <w:szCs w:val="24"/>
          <w:lang w:eastAsia="ru-RU"/>
        </w:rPr>
        <w:t xml:space="preserve">в сумі </w:t>
      </w:r>
      <w:r>
        <w:rPr>
          <w:rFonts w:ascii="Times New Roman" w:hAnsi="Times New Roman"/>
          <w:sz w:val="24"/>
          <w:szCs w:val="24"/>
          <w:lang w:val="uk-UA" w:eastAsia="ru-RU"/>
        </w:rPr>
        <w:t>8945119,83</w:t>
      </w:r>
      <w:r w:rsidRPr="00CA2AE9">
        <w:rPr>
          <w:rFonts w:ascii="Times New Roman" w:hAnsi="Times New Roman"/>
          <w:sz w:val="24"/>
          <w:szCs w:val="24"/>
          <w:lang w:eastAsia="ru-RU"/>
        </w:rPr>
        <w:t>грн. використано наступним чином: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5675107,09 грн - </w:t>
      </w:r>
      <w:r w:rsidRPr="00CA2AE9">
        <w:rPr>
          <w:rFonts w:ascii="Times New Roman" w:hAnsi="Times New Roman"/>
          <w:sz w:val="24"/>
          <w:szCs w:val="24"/>
          <w:lang w:eastAsia="ru-RU"/>
        </w:rPr>
        <w:t>нара</w:t>
      </w:r>
      <w:r>
        <w:rPr>
          <w:rFonts w:ascii="Times New Roman" w:hAnsi="Times New Roman"/>
          <w:sz w:val="24"/>
          <w:szCs w:val="24"/>
          <w:lang w:eastAsia="ru-RU"/>
        </w:rPr>
        <w:t xml:space="preserve">ховано заробітної плати </w:t>
      </w:r>
      <w:r w:rsidRPr="00CA2AE9">
        <w:rPr>
          <w:rFonts w:ascii="Times New Roman" w:hAnsi="Times New Roman"/>
          <w:sz w:val="24"/>
          <w:szCs w:val="24"/>
          <w:lang w:eastAsia="ru-RU"/>
        </w:rPr>
        <w:t>;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1310102,3</w:t>
      </w:r>
      <w:r w:rsidRPr="00CA2AE9">
        <w:rPr>
          <w:rFonts w:ascii="Times New Roman" w:hAnsi="Times New Roman"/>
          <w:sz w:val="24"/>
          <w:szCs w:val="24"/>
          <w:lang w:eastAsia="ru-RU"/>
        </w:rPr>
        <w:t>грн на сплату нарахувань на заробітну плату (ЄСВ);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63900,79</w:t>
      </w:r>
      <w:r w:rsidRPr="00CA2AE9">
        <w:rPr>
          <w:rFonts w:ascii="Times New Roman" w:hAnsi="Times New Roman"/>
          <w:sz w:val="24"/>
          <w:szCs w:val="24"/>
          <w:lang w:eastAsia="ru-RU"/>
        </w:rPr>
        <w:t>грн н</w:t>
      </w:r>
      <w:r>
        <w:rPr>
          <w:rFonts w:ascii="Times New Roman" w:hAnsi="Times New Roman"/>
          <w:sz w:val="24"/>
          <w:szCs w:val="24"/>
          <w:lang w:eastAsia="ru-RU"/>
        </w:rPr>
        <w:t>а поточні ремонти (</w:t>
      </w:r>
      <w:r w:rsidRPr="00CA2AE9">
        <w:rPr>
          <w:rFonts w:ascii="Times New Roman" w:hAnsi="Times New Roman"/>
          <w:sz w:val="24"/>
          <w:szCs w:val="24"/>
          <w:lang w:eastAsia="ru-RU"/>
        </w:rPr>
        <w:t xml:space="preserve"> ремонт кімнат, оплата робіт);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35645,50</w:t>
      </w:r>
      <w:r w:rsidRPr="00CA2AE9">
        <w:rPr>
          <w:rFonts w:ascii="Times New Roman" w:hAnsi="Times New Roman"/>
          <w:sz w:val="24"/>
          <w:szCs w:val="24"/>
          <w:lang w:eastAsia="ru-RU"/>
        </w:rPr>
        <w:t>грн на охорону об’єкту;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97768,51</w:t>
      </w:r>
      <w:r w:rsidRPr="00CA2AE9">
        <w:rPr>
          <w:rFonts w:ascii="Times New Roman" w:hAnsi="Times New Roman"/>
          <w:sz w:val="24"/>
          <w:szCs w:val="24"/>
          <w:lang w:eastAsia="ru-RU"/>
        </w:rPr>
        <w:t>грн на придбання миючих та канцелярських засобів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та папір</w:t>
      </w:r>
      <w:r w:rsidRPr="00CA2AE9">
        <w:rPr>
          <w:rFonts w:ascii="Times New Roman" w:hAnsi="Times New Roman"/>
          <w:sz w:val="24"/>
          <w:szCs w:val="24"/>
          <w:lang w:eastAsia="ru-RU"/>
        </w:rPr>
        <w:t>;</w:t>
      </w:r>
    </w:p>
    <w:p w:rsidR="00592974" w:rsidRPr="00604003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130148,77</w:t>
      </w:r>
      <w:r w:rsidRPr="00CA2AE9">
        <w:rPr>
          <w:rFonts w:ascii="Times New Roman" w:hAnsi="Times New Roman"/>
          <w:sz w:val="24"/>
          <w:szCs w:val="24"/>
          <w:lang w:eastAsia="ru-RU"/>
        </w:rPr>
        <w:t>грн на комунальні послуги, послуги зв’язку, банківські послуги, програмне забезпечення подання звітності;</w:t>
      </w:r>
    </w:p>
    <w:p w:rsidR="00592974" w:rsidRPr="00604003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1762595,64</w:t>
      </w:r>
      <w:r w:rsidRPr="00CA2AE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– сплата до бюджету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( земля, нерухомість. ПДВ, податок на прибуток, частина чистого прибутку)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Чисти</w:t>
      </w:r>
      <w:r>
        <w:rPr>
          <w:rFonts w:ascii="Times New Roman" w:hAnsi="Times New Roman"/>
          <w:sz w:val="24"/>
          <w:szCs w:val="24"/>
          <w:lang w:eastAsia="ru-RU"/>
        </w:rPr>
        <w:t>й прибуток підприємства: за 201</w:t>
      </w:r>
      <w:r>
        <w:rPr>
          <w:rFonts w:ascii="Times New Roman" w:hAnsi="Times New Roman"/>
          <w:sz w:val="24"/>
          <w:szCs w:val="24"/>
          <w:lang w:val="uk-UA"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 рік + </w:t>
      </w:r>
      <w:r>
        <w:rPr>
          <w:rFonts w:ascii="Times New Roman" w:hAnsi="Times New Roman"/>
          <w:sz w:val="24"/>
          <w:szCs w:val="24"/>
          <w:lang w:val="uk-UA" w:eastAsia="ru-RU"/>
        </w:rPr>
        <w:t>15500</w:t>
      </w:r>
      <w:r>
        <w:rPr>
          <w:rFonts w:ascii="Times New Roman" w:hAnsi="Times New Roman"/>
          <w:sz w:val="24"/>
          <w:szCs w:val="24"/>
          <w:lang w:eastAsia="ru-RU"/>
        </w:rPr>
        <w:t>грн; за 201</w:t>
      </w:r>
      <w:r>
        <w:rPr>
          <w:rFonts w:ascii="Times New Roman" w:hAnsi="Times New Roman"/>
          <w:sz w:val="24"/>
          <w:szCs w:val="24"/>
          <w:lang w:val="uk-UA"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 рік + </w:t>
      </w:r>
      <w:r>
        <w:rPr>
          <w:rFonts w:ascii="Times New Roman" w:hAnsi="Times New Roman"/>
          <w:sz w:val="24"/>
          <w:szCs w:val="24"/>
          <w:lang w:val="uk-UA" w:eastAsia="ru-RU"/>
        </w:rPr>
        <w:t>700</w:t>
      </w:r>
      <w:r w:rsidRPr="00CA2AE9">
        <w:rPr>
          <w:rFonts w:ascii="Times New Roman" w:hAnsi="Times New Roman"/>
          <w:sz w:val="24"/>
          <w:szCs w:val="24"/>
          <w:lang w:eastAsia="ru-RU"/>
        </w:rPr>
        <w:t xml:space="preserve">грн </w:t>
      </w:r>
      <w:r>
        <w:rPr>
          <w:rFonts w:ascii="Times New Roman" w:hAnsi="Times New Roman"/>
          <w:sz w:val="24"/>
          <w:szCs w:val="24"/>
          <w:lang w:val="uk-UA" w:eastAsia="ru-RU"/>
        </w:rPr>
        <w:t>; за 2017 рік +11900 грн; за 2018 рік +12900 грн; за 2019 рік +1300 грн; за 2020 рік +17400 грн.</w:t>
      </w:r>
      <w:r w:rsidRPr="00CA2AE9">
        <w:rPr>
          <w:rFonts w:ascii="Times New Roman" w:hAnsi="Times New Roman"/>
          <w:sz w:val="24"/>
          <w:szCs w:val="24"/>
          <w:lang w:eastAsia="ru-RU"/>
        </w:rPr>
        <w:t>      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 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 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 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 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 </w:t>
      </w:r>
    </w:p>
    <w:p w:rsidR="00592974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 </w:t>
      </w:r>
    </w:p>
    <w:p w:rsidR="00592974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592974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592974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592974" w:rsidRPr="003208CD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>ІІІ</w:t>
      </w:r>
      <w:r w:rsidRPr="00CA2AE9">
        <w:rPr>
          <w:rFonts w:ascii="Times New Roman" w:hAnsi="Times New Roman"/>
          <w:b/>
          <w:bCs/>
          <w:sz w:val="24"/>
          <w:szCs w:val="24"/>
          <w:lang w:eastAsia="ru-RU"/>
        </w:rPr>
        <w:t>. ПРЕТЕНЗІЙНА РОБОТА З БОРЖНИКАМИ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b/>
          <w:bCs/>
          <w:sz w:val="24"/>
          <w:szCs w:val="24"/>
          <w:lang w:eastAsia="ru-RU"/>
        </w:rPr>
        <w:t>ТА РЕЗУЛЬТАТИ</w:t>
      </w:r>
    </w:p>
    <w:p w:rsidR="00592974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CA2AE9">
        <w:rPr>
          <w:rFonts w:ascii="Times New Roman" w:hAnsi="Times New Roman"/>
          <w:b/>
          <w:bCs/>
          <w:sz w:val="24"/>
          <w:szCs w:val="24"/>
          <w:lang w:eastAsia="ru-RU"/>
        </w:rPr>
        <w:t>Дебіторська заборгованість, тис.грн.</w:t>
      </w:r>
    </w:p>
    <w:p w:rsidR="00592974" w:rsidRPr="00D45ED5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82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390"/>
        <w:gridCol w:w="1410"/>
        <w:gridCol w:w="1530"/>
        <w:gridCol w:w="1890"/>
      </w:tblGrid>
      <w:tr w:rsidR="00592974" w:rsidRPr="00585EB8" w:rsidTr="00CA2AE9">
        <w:trPr>
          <w:tblCellSpacing w:w="0" w:type="dxa"/>
        </w:trPr>
        <w:tc>
          <w:tcPr>
            <w:tcW w:w="33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974" w:rsidRPr="00CA2AE9" w:rsidRDefault="00592974" w:rsidP="00CA2AE9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974" w:rsidRPr="003B1EB3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 01.01.201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974" w:rsidRPr="003B1EB3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31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2974" w:rsidRPr="003B1EB3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A2A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 зменшення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, збільшення</w:t>
            </w:r>
          </w:p>
        </w:tc>
      </w:tr>
      <w:tr w:rsidR="00592974" w:rsidRPr="00585EB8" w:rsidTr="00CA2AE9">
        <w:trPr>
          <w:tblCellSpacing w:w="0" w:type="dxa"/>
        </w:trPr>
        <w:tc>
          <w:tcPr>
            <w:tcW w:w="33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>Заборгованість контрагентів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974" w:rsidRPr="003B1EB3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47,2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974" w:rsidRPr="003B1EB3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28,3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2974" w:rsidRPr="003B1EB3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0,0 зменшення</w:t>
            </w:r>
          </w:p>
        </w:tc>
      </w:tr>
      <w:tr w:rsidR="00592974" w:rsidRPr="00585EB8" w:rsidTr="00CA2AE9">
        <w:trPr>
          <w:tblCellSpacing w:w="0" w:type="dxa"/>
        </w:trPr>
        <w:tc>
          <w:tcPr>
            <w:tcW w:w="33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974" w:rsidRPr="003B1EB3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>дебіторська заборгованість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 розрахунки з бюджетом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974" w:rsidRPr="003B1EB3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974" w:rsidRPr="003B1EB3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29,4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2974" w:rsidRPr="003B1EB3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65,1 збільшення</w:t>
            </w:r>
          </w:p>
        </w:tc>
      </w:tr>
    </w:tbl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 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>І</w:t>
      </w:r>
      <w:r w:rsidRPr="00CA2AE9">
        <w:rPr>
          <w:rFonts w:ascii="Times New Roman" w:hAnsi="Times New Roman"/>
          <w:b/>
          <w:bCs/>
          <w:sz w:val="24"/>
          <w:szCs w:val="24"/>
          <w:lang w:eastAsia="ru-RU"/>
        </w:rPr>
        <w:t>V. РЕСТРУКТУРИЗАЦІЯ ЗАБОРГОВАНОСТІ ЗА ПОПЕРЕДНІ РОКИ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b/>
          <w:bCs/>
          <w:sz w:val="24"/>
          <w:szCs w:val="24"/>
          <w:lang w:eastAsia="ru-RU"/>
        </w:rPr>
        <w:t>ТА РЕЗУЛЬТАТИ РОБОТИ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 xml:space="preserve">Загальна </w:t>
      </w:r>
      <w:r w:rsidRPr="00CA2AE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кредиторська заборгованість </w:t>
      </w:r>
      <w:r>
        <w:rPr>
          <w:rFonts w:ascii="Times New Roman" w:hAnsi="Times New Roman"/>
          <w:sz w:val="24"/>
          <w:szCs w:val="24"/>
          <w:lang w:eastAsia="ru-RU"/>
        </w:rPr>
        <w:t xml:space="preserve">підприємствастаном на </w:t>
      </w:r>
      <w:r>
        <w:rPr>
          <w:rFonts w:ascii="Times New Roman" w:hAnsi="Times New Roman"/>
          <w:sz w:val="24"/>
          <w:szCs w:val="24"/>
          <w:lang w:val="uk-UA" w:eastAsia="ru-RU"/>
        </w:rPr>
        <w:t>31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uk-UA" w:eastAsia="ru-RU"/>
        </w:rPr>
        <w:t>12</w:t>
      </w:r>
      <w:r>
        <w:rPr>
          <w:rFonts w:ascii="Times New Roman" w:hAnsi="Times New Roman"/>
          <w:sz w:val="24"/>
          <w:szCs w:val="24"/>
          <w:lang w:eastAsia="ru-RU"/>
        </w:rPr>
        <w:t>.20</w:t>
      </w:r>
      <w:r>
        <w:rPr>
          <w:rFonts w:ascii="Times New Roman" w:hAnsi="Times New Roman"/>
          <w:sz w:val="24"/>
          <w:szCs w:val="24"/>
          <w:lang w:val="uk-UA" w:eastAsia="ru-RU"/>
        </w:rPr>
        <w:t>20</w:t>
      </w:r>
      <w:r w:rsidRPr="00CA2AE9"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>40,7</w:t>
      </w:r>
      <w:r w:rsidRPr="00CA2AE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тис. грн.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 Кредиторська заборгованість </w:t>
      </w:r>
    </w:p>
    <w:tbl>
      <w:tblPr>
        <w:tblW w:w="8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60"/>
        <w:gridCol w:w="1680"/>
        <w:gridCol w:w="1515"/>
        <w:gridCol w:w="1920"/>
      </w:tblGrid>
      <w:tr w:rsidR="00592974" w:rsidRPr="00585EB8" w:rsidTr="00CA2AE9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974" w:rsidRPr="00CA2AE9" w:rsidRDefault="00592974" w:rsidP="00CA2AE9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A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 </w:t>
            </w:r>
          </w:p>
          <w:p w:rsidR="00592974" w:rsidRPr="008C1BBD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974" w:rsidRPr="008C1BBD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31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A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A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Зменшення</w:t>
            </w:r>
          </w:p>
        </w:tc>
      </w:tr>
      <w:tr w:rsidR="00592974" w:rsidRPr="00585EB8" w:rsidTr="00CA2AE9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>Товари, послуги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974" w:rsidRPr="008C1BBD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66,0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974" w:rsidRPr="008C1BBD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40,7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2974" w:rsidRPr="008C1BBD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38,3</w:t>
            </w:r>
          </w:p>
        </w:tc>
      </w:tr>
      <w:tr w:rsidR="00592974" w:rsidRPr="00585EB8" w:rsidTr="00CA2AE9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>Всього кредиторська заборгованість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974" w:rsidRPr="008C1BBD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66,0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974" w:rsidRPr="008C1BBD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40,7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2974" w:rsidRPr="008C1BBD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38,3</w:t>
            </w:r>
          </w:p>
        </w:tc>
      </w:tr>
    </w:tbl>
    <w:p w:rsidR="00592974" w:rsidRPr="003208CD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 xml:space="preserve">            Загальна кредиторська заборгованість </w:t>
      </w:r>
      <w:r>
        <w:rPr>
          <w:rFonts w:ascii="Times New Roman" w:hAnsi="Times New Roman"/>
          <w:sz w:val="24"/>
          <w:szCs w:val="24"/>
          <w:lang w:eastAsia="ru-RU"/>
        </w:rPr>
        <w:t>станом на 31.12.20</w:t>
      </w:r>
      <w:r>
        <w:rPr>
          <w:rFonts w:ascii="Times New Roman" w:hAnsi="Times New Roman"/>
          <w:sz w:val="24"/>
          <w:szCs w:val="24"/>
          <w:lang w:val="uk-UA"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 xml:space="preserve"> року – </w:t>
      </w:r>
      <w:r>
        <w:rPr>
          <w:rFonts w:ascii="Times New Roman" w:hAnsi="Times New Roman"/>
          <w:sz w:val="24"/>
          <w:szCs w:val="24"/>
          <w:lang w:val="uk-UA" w:eastAsia="ru-RU"/>
        </w:rPr>
        <w:t>40,7</w:t>
      </w:r>
      <w:r w:rsidRPr="00CA2AE9">
        <w:rPr>
          <w:rFonts w:ascii="Times New Roman" w:hAnsi="Times New Roman"/>
          <w:sz w:val="24"/>
          <w:szCs w:val="24"/>
          <w:lang w:eastAsia="ru-RU"/>
        </w:rPr>
        <w:t> тис. грн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, що є меншою на 3</w:t>
      </w:r>
      <w:r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  <w:t>8,3</w:t>
      </w:r>
      <w:r w:rsidRPr="00CA2AE9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%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 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V</w:t>
      </w:r>
      <w:r w:rsidRPr="00CA2AE9">
        <w:rPr>
          <w:rFonts w:ascii="Times New Roman" w:hAnsi="Times New Roman"/>
          <w:b/>
          <w:bCs/>
          <w:sz w:val="24"/>
          <w:szCs w:val="24"/>
          <w:lang w:eastAsia="ru-RU"/>
        </w:rPr>
        <w:t>. ЗАХОДИ ДЛЯ ЗБЕРЕЖЕННЯ МАЙНА ТА ЕНЕРГОЕФЕКТИВНІСТЬ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           За </w:t>
      </w:r>
      <w:r>
        <w:rPr>
          <w:rFonts w:ascii="Times New Roman" w:hAnsi="Times New Roman"/>
          <w:sz w:val="24"/>
          <w:szCs w:val="24"/>
          <w:lang w:val="uk-UA" w:eastAsia="ru-RU"/>
        </w:rPr>
        <w:t>2015 - 2020 роки</w:t>
      </w:r>
      <w:r w:rsidRPr="00CA2AE9">
        <w:rPr>
          <w:rFonts w:ascii="Times New Roman" w:hAnsi="Times New Roman"/>
          <w:sz w:val="24"/>
          <w:szCs w:val="24"/>
          <w:lang w:eastAsia="ru-RU"/>
        </w:rPr>
        <w:t xml:space="preserve"> керівництвом підприємства було проведено ремонтні та відновлювальні роботи з метою утримання майна в належному стані.</w:t>
      </w:r>
    </w:p>
    <w:p w:rsidR="00592974" w:rsidRPr="00B22CC7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Встано</w:t>
      </w:r>
      <w:r>
        <w:rPr>
          <w:rFonts w:ascii="Times New Roman" w:hAnsi="Times New Roman"/>
          <w:sz w:val="24"/>
          <w:szCs w:val="24"/>
          <w:lang w:eastAsia="ru-RU"/>
        </w:rPr>
        <w:t xml:space="preserve">влені металопластикові двері </w:t>
      </w:r>
      <w:r>
        <w:rPr>
          <w:rFonts w:ascii="Times New Roman" w:hAnsi="Times New Roman"/>
          <w:sz w:val="24"/>
          <w:szCs w:val="24"/>
          <w:lang w:val="uk-UA" w:eastAsia="ru-RU"/>
        </w:rPr>
        <w:t>в тамбурі</w:t>
      </w:r>
      <w:r w:rsidRPr="00CA2AE9">
        <w:rPr>
          <w:rFonts w:ascii="Times New Roman" w:hAnsi="Times New Roman"/>
          <w:sz w:val="24"/>
          <w:szCs w:val="24"/>
          <w:lang w:eastAsia="ru-RU"/>
        </w:rPr>
        <w:t xml:space="preserve"> з метою збереження тепла. Всі роботи та матеріали профінансовані підприємством.      </w:t>
      </w:r>
    </w:p>
    <w:tbl>
      <w:tblPr>
        <w:tblpPr w:leftFromText="45" w:rightFromText="45" w:vertAnchor="text" w:horzAnchor="margin" w:tblpY="448"/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0"/>
        <w:gridCol w:w="20"/>
        <w:gridCol w:w="20"/>
        <w:gridCol w:w="20"/>
      </w:tblGrid>
      <w:tr w:rsidR="00592974" w:rsidRPr="00585EB8" w:rsidTr="00CA49F2">
        <w:trPr>
          <w:tblCellSpacing w:w="0" w:type="dxa"/>
        </w:trPr>
        <w:tc>
          <w:tcPr>
            <w:tcW w:w="0" w:type="auto"/>
            <w:vAlign w:val="center"/>
          </w:tcPr>
          <w:p w:rsidR="00592974" w:rsidRPr="00CA2AE9" w:rsidRDefault="00592974" w:rsidP="00CA4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92974" w:rsidRPr="00CA2AE9" w:rsidRDefault="00592974" w:rsidP="00CA4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92974" w:rsidRPr="00CA2AE9" w:rsidRDefault="00592974" w:rsidP="00CA4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92974" w:rsidRPr="00CA2AE9" w:rsidRDefault="00592974" w:rsidP="00CA4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2974" w:rsidRPr="00585EB8" w:rsidTr="00CA49F2">
        <w:trPr>
          <w:tblCellSpacing w:w="0" w:type="dxa"/>
        </w:trPr>
        <w:tc>
          <w:tcPr>
            <w:tcW w:w="0" w:type="auto"/>
            <w:vAlign w:val="center"/>
          </w:tcPr>
          <w:p w:rsidR="00592974" w:rsidRPr="00CA2AE9" w:rsidRDefault="00592974" w:rsidP="00CA4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92974" w:rsidRPr="00CA2AE9" w:rsidRDefault="00592974" w:rsidP="00CA4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92974" w:rsidRPr="00CA2AE9" w:rsidRDefault="00592974" w:rsidP="00CA4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2974" w:rsidRPr="00585EB8" w:rsidTr="00CA49F2">
        <w:trPr>
          <w:tblCellSpacing w:w="0" w:type="dxa"/>
        </w:trPr>
        <w:tc>
          <w:tcPr>
            <w:tcW w:w="0" w:type="auto"/>
            <w:vAlign w:val="center"/>
          </w:tcPr>
          <w:p w:rsidR="00592974" w:rsidRPr="00CA2AE9" w:rsidRDefault="00592974" w:rsidP="00CA4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92974" w:rsidRPr="00CA2AE9" w:rsidRDefault="00592974" w:rsidP="00CA4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92974" w:rsidRPr="00CA2AE9" w:rsidRDefault="00592974" w:rsidP="00CA49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92974" w:rsidRPr="00CA2AE9" w:rsidRDefault="00592974" w:rsidP="00CA4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ремонт кімнат</w:t>
      </w:r>
      <w:r w:rsidRPr="00CA2AE9">
        <w:rPr>
          <w:rFonts w:ascii="Times New Roman" w:hAnsi="Times New Roman"/>
          <w:sz w:val="24"/>
          <w:szCs w:val="24"/>
          <w:lang w:eastAsia="ru-RU"/>
        </w:rPr>
        <w:t xml:space="preserve"> на першом</w:t>
      </w:r>
      <w:r>
        <w:rPr>
          <w:rFonts w:ascii="Times New Roman" w:hAnsi="Times New Roman"/>
          <w:sz w:val="24"/>
          <w:szCs w:val="24"/>
          <w:lang w:eastAsia="ru-RU"/>
        </w:rPr>
        <w:t xml:space="preserve">у поверсі будівлі </w:t>
      </w:r>
      <w:r w:rsidRPr="00CA2AE9">
        <w:rPr>
          <w:rFonts w:ascii="Times New Roman" w:hAnsi="Times New Roman"/>
          <w:sz w:val="24"/>
          <w:szCs w:val="24"/>
          <w:lang w:eastAsia="ru-RU"/>
        </w:rPr>
        <w:t>: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До складу ремонтних робіт увійшли роботи із заміни зіпсованої підлоги, встановлення дверей, роботи з обробки стін антигрибковою сумішшю, улаштування гіпсокартоном, заміна покриття (лінолеум), прокладання електрики.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V</w:t>
      </w: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>І</w:t>
      </w:r>
      <w:r w:rsidRPr="00CA2AE9">
        <w:rPr>
          <w:rFonts w:ascii="Times New Roman" w:hAnsi="Times New Roman"/>
          <w:b/>
          <w:bCs/>
          <w:sz w:val="24"/>
          <w:szCs w:val="24"/>
          <w:lang w:eastAsia="ru-RU"/>
        </w:rPr>
        <w:t>. АУДИТ ДІЯЛЬНОСТІ ПІДПРИЄМСТВА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 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В ЧАСТИНІ ВИКОРИСТАННЯ БЮДЖЕТНИХ КОШТІВ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 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Зважаючи на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те що за період 2015 - 2020 року бюджетні кошти не використовувалися </w:t>
      </w:r>
      <w:r w:rsidRPr="00CA2AE9">
        <w:rPr>
          <w:rFonts w:ascii="Times New Roman" w:hAnsi="Times New Roman"/>
          <w:sz w:val="24"/>
          <w:szCs w:val="24"/>
          <w:lang w:eastAsia="ru-RU"/>
        </w:rPr>
        <w:t>аудит не проводився.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 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 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 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 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V</w:t>
      </w:r>
      <w:r w:rsidRPr="00CA2AE9">
        <w:rPr>
          <w:rFonts w:ascii="Times New Roman" w:hAnsi="Times New Roman"/>
          <w:b/>
          <w:bCs/>
          <w:sz w:val="24"/>
          <w:szCs w:val="24"/>
          <w:lang w:eastAsia="ru-RU"/>
        </w:rPr>
        <w:t>IІ. КАДРОВЕ ЗАБЕЗПЕЧЕННЯ ПІДПРИЄМСТВА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 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Заборгованості за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CA2AE9">
        <w:rPr>
          <w:rFonts w:ascii="Times New Roman" w:hAnsi="Times New Roman"/>
          <w:sz w:val="24"/>
          <w:szCs w:val="24"/>
          <w:lang w:eastAsia="ru-RU"/>
        </w:rPr>
        <w:t xml:space="preserve">договорами цивільно-правового характеру, заробітній платі та відрахувань до державних фондів за </w:t>
      </w:r>
      <w:r>
        <w:rPr>
          <w:rFonts w:ascii="Times New Roman" w:hAnsi="Times New Roman"/>
          <w:sz w:val="24"/>
          <w:szCs w:val="24"/>
          <w:lang w:eastAsia="ru-RU"/>
        </w:rPr>
        <w:t xml:space="preserve">нарахуваннями немає </w:t>
      </w:r>
      <w:r w:rsidRPr="00CA2AE9">
        <w:rPr>
          <w:rFonts w:ascii="Times New Roman" w:hAnsi="Times New Roman"/>
          <w:sz w:val="24"/>
          <w:szCs w:val="24"/>
          <w:lang w:eastAsia="ru-RU"/>
        </w:rPr>
        <w:t>.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 </w:t>
      </w:r>
    </w:p>
    <w:p w:rsidR="00592974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            Кількість штатних працівників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2015 - 2020 роки</w:t>
      </w:r>
      <w:r w:rsidRPr="00CA2AE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>:</w:t>
      </w:r>
    </w:p>
    <w:p w:rsidR="00592974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2015 рік - 11  осіб;</w:t>
      </w:r>
    </w:p>
    <w:p w:rsidR="00592974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2016 рік - 11 осіб;</w:t>
      </w:r>
    </w:p>
    <w:p w:rsidR="00592974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2017 рік - 11 осіб;</w:t>
      </w:r>
    </w:p>
    <w:p w:rsidR="00592974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2018 рік - 11 осіб;</w:t>
      </w:r>
    </w:p>
    <w:p w:rsidR="00592974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2019 рік - 11 осіб;</w:t>
      </w:r>
    </w:p>
    <w:p w:rsidR="00592974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2020 рік - 9 осіб.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Скорочення або додаткового набору співробітників підприємство не потребує.</w:t>
      </w:r>
    </w:p>
    <w:p w:rsidR="00592974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592974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592974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 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b/>
          <w:bCs/>
          <w:sz w:val="24"/>
          <w:szCs w:val="24"/>
          <w:lang w:eastAsia="ru-RU"/>
        </w:rPr>
        <w:t>V</w:t>
      </w: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>ІІІ</w:t>
      </w:r>
      <w:r w:rsidRPr="00CA2AE9">
        <w:rPr>
          <w:rFonts w:ascii="Times New Roman" w:hAnsi="Times New Roman"/>
          <w:b/>
          <w:bCs/>
          <w:sz w:val="24"/>
          <w:szCs w:val="24"/>
          <w:lang w:eastAsia="ru-RU"/>
        </w:rPr>
        <w:t>. ЕФЕКТИВНІСТЬ ВИКОРИСТАННЯ АКТИВІВ ТА КОНТРОЛЮ НАД НИМИ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 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Усі передані у управління Підприємству активи використовувалися з максимальною ефективністю. Після проведеної інвентаризації активів, усі договірні відносини приведені у відповідність до законодавства та фактичного використання. Окрім цього, були проведені частково ремонтні та відновлювальні роботи з метою збереження майна та поліпшення його стану.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 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      </w:t>
      </w:r>
    </w:p>
    <w:p w:rsidR="00592974" w:rsidRPr="003B1EB3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CA2AE9">
        <w:rPr>
          <w:rFonts w:ascii="Times New Roman" w:hAnsi="Times New Roman"/>
          <w:b/>
          <w:bCs/>
          <w:sz w:val="24"/>
          <w:szCs w:val="24"/>
          <w:lang w:eastAsia="ru-RU"/>
        </w:rPr>
        <w:t>ПРОПОЗИЦІЇ ЩОДО РОЗВИТКУ ПІДПРИЄМ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СТВА ТА НАПОВНЕННЯ БЮДЖЕТУ 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18"/>
        <w:gridCol w:w="2820"/>
        <w:gridCol w:w="3030"/>
        <w:gridCol w:w="1562"/>
        <w:gridCol w:w="1770"/>
      </w:tblGrid>
      <w:tr w:rsidR="00592974" w:rsidRPr="00585EB8" w:rsidTr="00CA2A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>Пріоритетність завдання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>Шляхи вирішення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>Термін вирішення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>Примітка</w:t>
            </w:r>
          </w:p>
        </w:tc>
      </w:tr>
      <w:tr w:rsidR="00592974" w:rsidRPr="00585EB8" w:rsidTr="00CA2A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92974" w:rsidRPr="00AF7C84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974" w:rsidRPr="00AF7C84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Зміна калькуляції робіт, послуг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974" w:rsidRPr="00AF7C84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 зв’язку із збільшенням мінімальної заробітної плати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974" w:rsidRPr="00AF7C84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20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21</w:t>
            </w: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2974" w:rsidRPr="00585EB8" w:rsidTr="00CA2A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92974" w:rsidRPr="00AF7C84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>Активізація наявних активів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>Укладання додаткових договорів на вільні приміщення</w:t>
            </w:r>
          </w:p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20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21</w:t>
            </w:r>
            <w:bookmarkStart w:id="0" w:name="_GoBack"/>
            <w:bookmarkEnd w:id="0"/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2974" w:rsidRPr="00585EB8" w:rsidTr="00CA2A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92974" w:rsidRPr="00AF7C84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риведення у належний стан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даху</w:t>
            </w: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будівлі </w:t>
            </w:r>
          </w:p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>Частково за рахунок основної діяльності та залучення коштів підприємців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92974" w:rsidRPr="003208CD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20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21-2022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2974" w:rsidRPr="00585EB8" w:rsidTr="00CA2A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92974" w:rsidRPr="00AF7C84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Проведення ремонтних робіт вільних приміщень, що знаходяться в критичному стані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>Залучення орендарів до проведення робіт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92974" w:rsidRPr="00AF7C84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20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21-2022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>Частково за рахунок основної діяльності та залучення коштів підприємців</w:t>
            </w:r>
          </w:p>
        </w:tc>
      </w:tr>
      <w:tr w:rsidR="00592974" w:rsidRPr="00585EB8" w:rsidTr="00CA2A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92974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  <w:p w:rsidR="00592974" w:rsidRPr="00AF7C84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>Надання додаткових видів послуг з метою збільшення дохідної частини підприємства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>Пошук альтернативних джерел та використання існуючих можливостей з метою збільшення дохідної частини підприємства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20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21</w:t>
            </w: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2974" w:rsidRPr="00CA2AE9" w:rsidRDefault="00592974" w:rsidP="00CA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A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92974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 </w:t>
      </w:r>
    </w:p>
    <w:p w:rsidR="00592974" w:rsidRPr="00AF7C84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b/>
          <w:bCs/>
          <w:sz w:val="24"/>
          <w:szCs w:val="24"/>
          <w:lang w:eastAsia="ru-RU"/>
        </w:rPr>
        <w:t>ВИСНОВКИ: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 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Погашення боргів попередніх років та податкове навантаження не дає змогу Підприємству швидко поліпшувати стан матеріальної бази та активно розвиватися.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 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Основні засоби підприємства (основні активи) потребують негайного часткового відновлення: проведення ремонтних робіт як внутрішніх так і з</w:t>
      </w:r>
      <w:r>
        <w:rPr>
          <w:rFonts w:ascii="Times New Roman" w:hAnsi="Times New Roman"/>
          <w:sz w:val="24"/>
          <w:szCs w:val="24"/>
          <w:lang w:eastAsia="ru-RU"/>
        </w:rPr>
        <w:t xml:space="preserve">овнішніх, заміну </w:t>
      </w:r>
      <w:r>
        <w:rPr>
          <w:rFonts w:ascii="Times New Roman" w:hAnsi="Times New Roman"/>
          <w:sz w:val="24"/>
          <w:szCs w:val="24"/>
          <w:lang w:val="uk-UA" w:eastAsia="ru-RU"/>
        </w:rPr>
        <w:t>покрівлі</w:t>
      </w:r>
      <w:r w:rsidRPr="00CA2AE9">
        <w:rPr>
          <w:rFonts w:ascii="Times New Roman" w:hAnsi="Times New Roman"/>
          <w:sz w:val="24"/>
          <w:szCs w:val="24"/>
          <w:lang w:eastAsia="ru-RU"/>
        </w:rPr>
        <w:t>, зменшення споживання теплової енергії в опалювальний період.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 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Окрім цього, однією з ризикових складових поточного року є перегляд цін та тарифів на комунальні послуги, навантаження по сплаті, вартість електроенергії та розмір мінімальної заробітної плати.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 </w:t>
      </w:r>
    </w:p>
    <w:p w:rsidR="00592974" w:rsidRPr="00CA2AE9" w:rsidRDefault="00592974" w:rsidP="00CA2A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2AE9">
        <w:rPr>
          <w:rFonts w:ascii="Times New Roman" w:hAnsi="Times New Roman"/>
          <w:sz w:val="24"/>
          <w:szCs w:val="24"/>
          <w:lang w:eastAsia="ru-RU"/>
        </w:rPr>
        <w:t>За умови виконання зазначених кроків та системного підходу до запланованих заходів, відсутності суттєвих змін фінансової політики на рівні держави та місцевому рівні, розширення кола одержувачів додаткових послуг, підприємство матиме змогу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CA2AE9">
        <w:rPr>
          <w:rFonts w:ascii="Times New Roman" w:hAnsi="Times New Roman"/>
          <w:sz w:val="24"/>
          <w:szCs w:val="24"/>
          <w:lang w:eastAsia="ru-RU"/>
        </w:rPr>
        <w:t>виконувати зобов’язання, продовжувати стабільну роботу протягом календарного року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CA2AE9">
        <w:rPr>
          <w:rFonts w:ascii="Times New Roman" w:hAnsi="Times New Roman"/>
          <w:sz w:val="24"/>
          <w:szCs w:val="24"/>
          <w:lang w:eastAsia="ru-RU"/>
        </w:rPr>
        <w:t> </w:t>
      </w:r>
    </w:p>
    <w:p w:rsidR="00592974" w:rsidRDefault="00592974"/>
    <w:sectPr w:rsidR="00592974" w:rsidSect="00E76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325EE"/>
    <w:multiLevelType w:val="hybridMultilevel"/>
    <w:tmpl w:val="A1B29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AE9"/>
    <w:rsid w:val="000222E1"/>
    <w:rsid w:val="000A087C"/>
    <w:rsid w:val="000B01AF"/>
    <w:rsid w:val="00205F00"/>
    <w:rsid w:val="00287D1F"/>
    <w:rsid w:val="003208CD"/>
    <w:rsid w:val="003B0DF5"/>
    <w:rsid w:val="003B1EB3"/>
    <w:rsid w:val="0055233E"/>
    <w:rsid w:val="00574DE4"/>
    <w:rsid w:val="00585EB8"/>
    <w:rsid w:val="00592974"/>
    <w:rsid w:val="005A7B87"/>
    <w:rsid w:val="005E6172"/>
    <w:rsid w:val="00604003"/>
    <w:rsid w:val="00614386"/>
    <w:rsid w:val="00784971"/>
    <w:rsid w:val="008225F2"/>
    <w:rsid w:val="008375E5"/>
    <w:rsid w:val="00851B2F"/>
    <w:rsid w:val="00876D8B"/>
    <w:rsid w:val="008C1BBD"/>
    <w:rsid w:val="00963A4C"/>
    <w:rsid w:val="009A006D"/>
    <w:rsid w:val="00A91CD1"/>
    <w:rsid w:val="00AF7C84"/>
    <w:rsid w:val="00B22CC7"/>
    <w:rsid w:val="00B878A4"/>
    <w:rsid w:val="00BC532F"/>
    <w:rsid w:val="00C40671"/>
    <w:rsid w:val="00C63CEC"/>
    <w:rsid w:val="00C86DF1"/>
    <w:rsid w:val="00CA2AE9"/>
    <w:rsid w:val="00CA49F2"/>
    <w:rsid w:val="00D45ED5"/>
    <w:rsid w:val="00DB48DF"/>
    <w:rsid w:val="00E76797"/>
    <w:rsid w:val="00E76DD2"/>
    <w:rsid w:val="00F30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97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48DF"/>
    <w:pPr>
      <w:ind w:left="720"/>
      <w:contextualSpacing/>
    </w:pPr>
  </w:style>
  <w:style w:type="table" w:styleId="TableGrid">
    <w:name w:val="Table Grid"/>
    <w:basedOn w:val="TableNormal"/>
    <w:uiPriority w:val="99"/>
    <w:rsid w:val="00E76D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5189</Words>
  <Characters>2959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</dc:title>
  <dc:subject/>
  <dc:creator>СЕРЖИК</dc:creator>
  <cp:keywords/>
  <dc:description/>
  <cp:lastModifiedBy>TRRADA</cp:lastModifiedBy>
  <cp:revision>2</cp:revision>
  <cp:lastPrinted>2021-03-11T13:38:00Z</cp:lastPrinted>
  <dcterms:created xsi:type="dcterms:W3CDTF">2021-03-12T10:13:00Z</dcterms:created>
  <dcterms:modified xsi:type="dcterms:W3CDTF">2021-03-12T10:13:00Z</dcterms:modified>
</cp:coreProperties>
</file>